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AF3CA51" w:rsidR="005A7127" w:rsidRPr="00FC3F8A" w:rsidRDefault="00642EE4" w:rsidP="00642EE4">
      <w:hyperlink r:id="rId6" w:history="1">
        <w:r w:rsidRPr="008A06EC">
          <w:rPr>
            <w:rStyle w:val="Collegamentoipertestuale"/>
          </w:rPr>
          <w:t>https://finanza.ilsecoloxix.it/News/2025/02/15/bossi-cherry-bank-nostra-crescita-tramite-integrazioni-continuiamo-a-essere-attivi/MjVfMjAyNS0wMi0xNV9UTEI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bossi-cherry-bank-nostra-crescita-tramite-integrazioni-continuiamo-a-essere-attivi/MjV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2025-02-20T15:39:00Z</dcterms:created>
  <dcterms:modified xsi:type="dcterms:W3CDTF">2025-02-20T15:39:00Z</dcterms:modified>
</cp:coreProperties>
</file>